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D3" w:rsidRDefault="00AC237A">
      <w:pPr>
        <w:pStyle w:val="TitleStyle"/>
      </w:pPr>
      <w:r>
        <w:t>Prawo o ustroju sądów powszechnych.</w:t>
      </w:r>
    </w:p>
    <w:p w:rsidR="008779D3" w:rsidRDefault="00AC237A">
      <w:pPr>
        <w:pStyle w:val="NormalStyle"/>
      </w:pPr>
      <w:r>
        <w:t xml:space="preserve">Dz.U.2019.52 </w:t>
      </w:r>
      <w:proofErr w:type="spellStart"/>
      <w:r>
        <w:t>t.j</w:t>
      </w:r>
      <w:proofErr w:type="spellEnd"/>
      <w:r>
        <w:t>. z dnia 2019.01.11</w:t>
      </w:r>
    </w:p>
    <w:p w:rsidR="008779D3" w:rsidRDefault="00AC237A">
      <w:pPr>
        <w:pStyle w:val="NormalStyle"/>
      </w:pPr>
      <w:r>
        <w:t>Status: Akt obowiązujący</w:t>
      </w:r>
    </w:p>
    <w:p w:rsidR="008779D3" w:rsidRDefault="00AC237A">
      <w:pPr>
        <w:pStyle w:val="NormalStyle"/>
      </w:pPr>
      <w:r>
        <w:t>Wersja od: 4 marca 2019r.  do: 31 grudnia 2019r.</w:t>
      </w:r>
    </w:p>
    <w:p w:rsidR="008779D3" w:rsidRDefault="00AC237A">
      <w:pPr>
        <w:spacing w:after="0"/>
      </w:pPr>
      <w:r>
        <w:br/>
      </w:r>
    </w:p>
    <w:p w:rsidR="008779D3" w:rsidRDefault="008779D3">
      <w:pPr>
        <w:numPr>
          <w:ilvl w:val="0"/>
          <w:numId w:val="1"/>
        </w:numPr>
        <w:spacing w:after="0"/>
      </w:pPr>
    </w:p>
    <w:p w:rsidR="008779D3" w:rsidRDefault="00AC237A">
      <w:pPr>
        <w:spacing w:after="0"/>
      </w:pPr>
      <w:r>
        <w:rPr>
          <w:b/>
          <w:color w:val="000000"/>
        </w:rPr>
        <w:t>Wejście w życie:</w:t>
      </w:r>
    </w:p>
    <w:p w:rsidR="008779D3" w:rsidRDefault="00AC237A">
      <w:pPr>
        <w:spacing w:after="0"/>
      </w:pPr>
      <w:r>
        <w:rPr>
          <w:color w:val="000000"/>
        </w:rPr>
        <w:t>1 października 2001 r.,1 stycznia 2002 r.,1 stycznia 2003 r.</w:t>
      </w:r>
    </w:p>
    <w:p w:rsidR="008779D3" w:rsidRDefault="00AC237A">
      <w:pPr>
        <w:spacing w:after="0"/>
      </w:pPr>
      <w:r>
        <w:rPr>
          <w:b/>
          <w:color w:val="000000"/>
        </w:rPr>
        <w:t>zobacz:</w:t>
      </w:r>
    </w:p>
    <w:p w:rsidR="008779D3" w:rsidRDefault="00AC237A">
      <w:pPr>
        <w:numPr>
          <w:ilvl w:val="1"/>
          <w:numId w:val="1"/>
        </w:numPr>
        <w:spacing w:after="0"/>
      </w:pPr>
      <w:r>
        <w:rPr>
          <w:color w:val="000000"/>
        </w:rPr>
        <w:t>art. 212</w:t>
      </w:r>
    </w:p>
    <w:p w:rsidR="008779D3" w:rsidRDefault="00AC237A">
      <w:pPr>
        <w:spacing w:after="0"/>
      </w:pPr>
      <w:r>
        <w:rPr>
          <w:color w:val="000000"/>
        </w:rPr>
        <w:t xml:space="preserve">Art. 212. </w:t>
      </w:r>
      <w:r>
        <w:rPr>
          <w:color w:val="000000"/>
        </w:rPr>
        <w:t xml:space="preserve"> [Wejście w życie ustawy]</w:t>
      </w:r>
    </w:p>
    <w:p w:rsidR="008779D3" w:rsidRDefault="00AC237A">
      <w:pPr>
        <w:spacing w:before="25" w:after="0"/>
      </w:pPr>
      <w:r>
        <w:rPr>
          <w:color w:val="000000"/>
        </w:rPr>
        <w:t>Ustawa wchodzi w życie z dniem 1 października 2001 r., z wyjątkiem:</w:t>
      </w:r>
    </w:p>
    <w:p w:rsidR="008779D3" w:rsidRDefault="00AC237A">
      <w:pPr>
        <w:spacing w:after="0"/>
      </w:pPr>
      <w:r>
        <w:rPr>
          <w:color w:val="000000"/>
        </w:rPr>
        <w:t>art. 91 § 2a, art. 151 § 1, art. 178, art. 193 i art. 195 pkt 2, które wchodzą w życie z dniem 1 stycznia 2002 r.;</w:t>
      </w:r>
    </w:p>
    <w:p w:rsidR="008779D3" w:rsidRDefault="00AC237A">
      <w:pPr>
        <w:spacing w:after="0"/>
      </w:pPr>
      <w:r>
        <w:rPr>
          <w:color w:val="000000"/>
        </w:rPr>
        <w:t xml:space="preserve">2) art. 13 § 2 pkt 4, art. 91 § 2, 3 i 4, art. </w:t>
      </w:r>
      <w:r>
        <w:rPr>
          <w:color w:val="000000"/>
        </w:rPr>
        <w:t>176, art. 177 i art. 179 § 1-4, które wchodzą w życie z dniem 1 stycznia 2003 r.</w:t>
      </w:r>
    </w:p>
    <w:p w:rsidR="008779D3" w:rsidRDefault="00AC237A">
      <w:pPr>
        <w:spacing w:after="0"/>
      </w:pPr>
      <w:r>
        <w:br/>
      </w:r>
    </w:p>
    <w:p w:rsidR="008779D3" w:rsidRDefault="00AC237A">
      <w:pPr>
        <w:spacing w:before="146" w:after="0"/>
        <w:jc w:val="center"/>
      </w:pPr>
      <w:r>
        <w:rPr>
          <w:b/>
          <w:color w:val="000000"/>
        </w:rPr>
        <w:t>USTAWA</w:t>
      </w:r>
    </w:p>
    <w:p w:rsidR="008779D3" w:rsidRDefault="00AC237A">
      <w:pPr>
        <w:spacing w:before="80" w:after="0"/>
        <w:jc w:val="center"/>
      </w:pPr>
      <w:r>
        <w:rPr>
          <w:color w:val="000000"/>
        </w:rPr>
        <w:t>z dnia 27 lipca 2001 r.</w:t>
      </w:r>
    </w:p>
    <w:p w:rsidR="008779D3" w:rsidRDefault="00AC237A">
      <w:pPr>
        <w:spacing w:before="80" w:after="0"/>
        <w:jc w:val="center"/>
      </w:pPr>
      <w:r>
        <w:rPr>
          <w:b/>
          <w:color w:val="000000"/>
        </w:rPr>
        <w:t>Prawo o ustroju sądów powszechnych</w:t>
      </w:r>
    </w:p>
    <w:p w:rsidR="00AC237A" w:rsidRDefault="00AC237A">
      <w:pPr>
        <w:spacing w:before="146" w:after="0"/>
        <w:jc w:val="center"/>
        <w:rPr>
          <w:b/>
          <w:color w:val="000000"/>
        </w:rPr>
      </w:pPr>
    </w:p>
    <w:p w:rsidR="008779D3" w:rsidRDefault="00AC237A">
      <w:pPr>
        <w:spacing w:before="146" w:after="0"/>
        <w:jc w:val="center"/>
      </w:pPr>
      <w:r>
        <w:rPr>
          <w:b/>
          <w:color w:val="000000"/>
        </w:rPr>
        <w:t xml:space="preserve">Rozdział 7 </w:t>
      </w:r>
    </w:p>
    <w:p w:rsidR="008779D3" w:rsidRDefault="00AC237A">
      <w:pPr>
        <w:spacing w:before="25" w:after="0"/>
        <w:jc w:val="center"/>
      </w:pPr>
      <w:r>
        <w:rPr>
          <w:b/>
          <w:color w:val="000000"/>
        </w:rPr>
        <w:t>Ławnicy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158.  [Wymagania na stanowisku ławnika]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Ławnikiem może być wybrany ten, kto: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1) posiada obywatelstwo polskie i korzysta z pełni praw cywilnych i obywatelskich;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 xml:space="preserve">2) jest </w:t>
      </w:r>
      <w:r>
        <w:rPr>
          <w:color w:val="000000"/>
        </w:rPr>
        <w:t>nieskazitelnego charakteru;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3) ukończył 30 lat;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4) jest zatrudniony, prowadzi działalność gospodarczą lub mieszka w miejscu kandydowania co najmniej od roku;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5) nie przekroczył 70 lat;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6) jest zdolny, ze względu na stan zdrowia, do pełnienia obowiązków ław</w:t>
      </w:r>
      <w:r>
        <w:rPr>
          <w:color w:val="000000"/>
        </w:rPr>
        <w:t>nika;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7) posiada co najmniej wykształcenie średnie lub średnie branżowe.</w:t>
      </w:r>
    </w:p>
    <w:p w:rsidR="008779D3" w:rsidRDefault="008779D3">
      <w:pPr>
        <w:spacing w:after="0"/>
      </w:pP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(uchylony).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>Do orzekania w sprawach z zakresu prawa pracy ławnikiem powinna być wybrana osoba wykazująca szczególną znajomość spraw pracowniczych.</w:t>
      </w:r>
    </w:p>
    <w:p w:rsidR="008779D3" w:rsidRDefault="00AC237A">
      <w:pPr>
        <w:spacing w:before="80" w:after="0"/>
      </w:pPr>
      <w:r>
        <w:rPr>
          <w:b/>
          <w:color w:val="000000"/>
        </w:rPr>
        <w:t>Art. 159.  [Osoby niemogą</w:t>
      </w:r>
      <w:r>
        <w:rPr>
          <w:b/>
          <w:color w:val="000000"/>
        </w:rPr>
        <w:t xml:space="preserve">ce być ławnikami] </w:t>
      </w:r>
    </w:p>
    <w:p w:rsidR="008779D3" w:rsidRDefault="00AC237A">
      <w:pPr>
        <w:spacing w:after="0"/>
      </w:pPr>
      <w:r>
        <w:rPr>
          <w:b/>
          <w:color w:val="000000"/>
        </w:rPr>
        <w:lastRenderedPageBreak/>
        <w:t xml:space="preserve">§ 1. </w:t>
      </w:r>
      <w:r>
        <w:rPr>
          <w:color w:val="000000"/>
        </w:rPr>
        <w:t>Ławnikami nie mogą być: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1) osoby zatrudnione w sądach powszechnych i innych sądach oraz w prokuraturze;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2) osoby wchodzące w skład organów, od których orzeczenia można żądać skierowania sprawy na drogę postępowania sądowego;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3) funk</w:t>
      </w:r>
      <w:r>
        <w:rPr>
          <w:color w:val="000000"/>
        </w:rPr>
        <w:t>cjonariusze Policji oraz inne osoby zajmujące stanowiska związane ze ściganiem przestępstw i wykroczeń;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4) adwokaci i aplikanci adwokaccy;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5) radcy prawni i aplikanci radcowscy;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6) duchowni;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7) żołnierze w czynnej służbie wojskowej;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8) funkcjonariusze Służ</w:t>
      </w:r>
      <w:r>
        <w:rPr>
          <w:color w:val="000000"/>
        </w:rPr>
        <w:t>by Więziennej;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9) radni gminy, powiatu i województwa.</w:t>
      </w:r>
    </w:p>
    <w:p w:rsidR="008779D3" w:rsidRDefault="008779D3">
      <w:pPr>
        <w:spacing w:after="0"/>
      </w:pP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Nie można być ławnikiem jednocześnie w więcej niż jednym sądzie.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160.  [Wybory ławników]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 xml:space="preserve">Ławników do sądów okręgowych oraz do sądów rejonowych wybierają rady gmin, których obszar jest </w:t>
      </w:r>
      <w:r>
        <w:rPr>
          <w:color w:val="000000"/>
        </w:rPr>
        <w:t>objęty właściwością tych sądów - w głosowaniu tajnym.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Wybory przygotowują gminy jako zadanie zlecone z zakresu administracji rządowej.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161.  [Ustalenie liczby ławników]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 xml:space="preserve">Liczbę ławników wybieranych przez poszczególne rady gmin do wszystkich </w:t>
      </w:r>
      <w:r>
        <w:rPr>
          <w:color w:val="000000"/>
        </w:rPr>
        <w:t>sądów działających na obszarze właściwości sądu okręgowego, w tym także liczbę ławników do orzekania w sprawach z zakresu prawa pracy, ustala kolegium sądu okręgowego; liczbę ławników do poszczególnych sądów rejonowych ustala się po zasięgnięciu opinii pre</w:t>
      </w:r>
      <w:r>
        <w:rPr>
          <w:color w:val="000000"/>
        </w:rPr>
        <w:t>zesów tych sądów.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Prezes sądu okręgowego podaje liczbę ławników do wiadomości poszczególnym radom gmin najpóźniej na trzydzieści dni przed upływem terminu zgłaszania kandydatów.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162.  [Zgłaszanie kandydatów na ławników]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Kandydatów na ławnik</w:t>
      </w:r>
      <w:r>
        <w:rPr>
          <w:color w:val="000000"/>
        </w:rPr>
        <w:t>ów mogą zgłaszać radom gmin prezesi właściwych sądów, stowarzyszenia, inne organizacje społeczne i zawodowe, zarejestrowane na podstawie przepisów prawa, z wyłączeniem partii politycznych, oraz co najmniej pięćdziesięciu obywateli mających czynne prawo wyb</w:t>
      </w:r>
      <w:r>
        <w:rPr>
          <w:color w:val="000000"/>
        </w:rPr>
        <w:t>orcze, zamieszkujących stale na terenie gminy dokonującej wyboru, w terminie do dnia 30 czerwca ostatniego roku kadencji.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Do zgłoszenia kandydata na ławnika dokonanego na karcie zgłoszenia dołącza się następujące dokumenty: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1) informację z Krajowego R</w:t>
      </w:r>
      <w:r>
        <w:rPr>
          <w:color w:val="000000"/>
        </w:rPr>
        <w:t>ejestru Karnego dotyczącą zgłaszanej osoby;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2) oświadczenie kandydata, że nie jest prowadzone przeciwko niemu postępowanie o przestępstwo ścigane z oskarżenia publicznego lub przestępstwo skarbowe;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 xml:space="preserve">3) oświadczenie kandydata, że nie jest lub nie był </w:t>
      </w:r>
      <w:r>
        <w:rPr>
          <w:color w:val="000000"/>
        </w:rPr>
        <w:t>pozbawiony władzy rodzicielskiej, a także, że władza rodzicielska nie została mu ograniczona ani zawieszona;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 xml:space="preserve">4) zaświadczenie lekarskie o stanie zdrowia, wystawione przez lekarza podstawowej opieki zdrowotnej, w rozumieniu przepisów </w:t>
      </w:r>
      <w:r>
        <w:rPr>
          <w:color w:val="1B1B1B"/>
        </w:rPr>
        <w:t>ustawy</w:t>
      </w:r>
      <w:r>
        <w:rPr>
          <w:color w:val="000000"/>
        </w:rPr>
        <w:t xml:space="preserve"> z dnia 27 paździ</w:t>
      </w:r>
      <w:r>
        <w:rPr>
          <w:color w:val="000000"/>
        </w:rPr>
        <w:t xml:space="preserve">ernika 2017 r. o </w:t>
      </w:r>
      <w:r>
        <w:rPr>
          <w:color w:val="000000"/>
        </w:rPr>
        <w:lastRenderedPageBreak/>
        <w:t>podstawowej opiece zdrowotnej (Dz. U. poz. 2217 oraz z 2018 r. poz. 1000 i 1544), stwierdzające brak przeciwwskazań do wykonywania funkcji ławnika;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5) dwa zdjęcia zgodne z wymogami stosowanymi przy składaniu wniosku o wydanie dowodu osobis</w:t>
      </w:r>
      <w:r>
        <w:rPr>
          <w:color w:val="000000"/>
        </w:rPr>
        <w:t>tego.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</w:t>
      </w:r>
      <w:r>
        <w:rPr>
          <w:color w:val="000000"/>
        </w:rPr>
        <w:t>odpis lub zaświadczenie potwierdzające wpis do innego właściwego rejestru lub ewidencji dotyczące tej organizacji.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4. </w:t>
      </w:r>
      <w:r>
        <w:rPr>
          <w:color w:val="000000"/>
        </w:rPr>
        <w:t>Do zgłoszenia kandydata na ławnika dokonanego na karcie zgłoszenia przez obywateli dołącza się również listę osób zawierającą imię (imio</w:t>
      </w:r>
      <w:r>
        <w:rPr>
          <w:color w:val="000000"/>
        </w:rPr>
        <w:t>na), nazwisko, numer ewidencyjny PESEL, miejsce stałego zamieszkania i własnoręczny podpis każdej z pięćdziesięciu osób zgłaszających kandydata.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5. </w:t>
      </w:r>
      <w:r>
        <w:rPr>
          <w:color w:val="000000"/>
        </w:rPr>
        <w:t>Dokumenty wymienione w § 2 pkt 1-4 powinny być opatrzone datą nie wcześniejszą niż trzydzieści dni przed d</w:t>
      </w:r>
      <w:r>
        <w:rPr>
          <w:color w:val="000000"/>
        </w:rPr>
        <w:t>niem zgłoszenia, a dokumenty wymienione w § 3 nie wcześniejszą niż trzy miesiące przed dniem zgłoszenia.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6. </w:t>
      </w:r>
      <w:r>
        <w:rPr>
          <w:color w:val="000000"/>
        </w:rPr>
        <w:t xml:space="preserve">Osobą uprawnioną do składania wyjaśnień w sprawie zgłoszenia kandydata na ławnika przez obywateli jest osoba, której nazwisko zostało umieszczone </w:t>
      </w:r>
      <w:r>
        <w:rPr>
          <w:color w:val="000000"/>
        </w:rPr>
        <w:t>jako pierwsze na liście, o której mowa w § 4.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7. </w:t>
      </w:r>
      <w:r>
        <w:rPr>
          <w:color w:val="000000"/>
        </w:rPr>
        <w:t>Koszt opłaty za wydanie informacji z Krajowego Rejestru Karnego ponosi Skarb Państwa.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7a. </w:t>
      </w:r>
      <w:r>
        <w:rPr>
          <w:color w:val="000000"/>
        </w:rPr>
        <w:t>Koszt opłaty za badanie lekarskie i za wystawienie zaświadczenia lekarskiego ponosi kandydat na ławnika.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8. </w:t>
      </w:r>
      <w:r>
        <w:rPr>
          <w:color w:val="000000"/>
        </w:rPr>
        <w:t>Kos</w:t>
      </w:r>
      <w:r>
        <w:rPr>
          <w:color w:val="000000"/>
        </w:rPr>
        <w:t>zt opłaty za wydanie aktualnego odpisu z Krajowego Rejestru Sądowego albo odpisu lub zaświadczenia z innego właściwego rejestru lub ewidencji ponosi Skarb Państwa.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9. </w:t>
      </w:r>
      <w:r>
        <w:rPr>
          <w:color w:val="000000"/>
        </w:rPr>
        <w:t>Rady gmin zasięgają od komendanta wojewódzkiego Policji albo Komendanta Stołecznego Pol</w:t>
      </w:r>
      <w:r>
        <w:rPr>
          <w:color w:val="000000"/>
        </w:rPr>
        <w:t>icji informacji o kandydatach na ławników. Informacje o kandydacie na ławnika uzyskuje się i sporządza na zasadach określonych dla informacji o kandydacie do objęcia stanowiska sędziowskiego.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10. </w:t>
      </w:r>
      <w:r>
        <w:rPr>
          <w:color w:val="000000"/>
        </w:rPr>
        <w:t>Zgłoszenia kandydatów, które wpłynęły do rady gminy po upł</w:t>
      </w:r>
      <w:r>
        <w:rPr>
          <w:color w:val="000000"/>
        </w:rPr>
        <w:t>ywie terminu, o którym mowa w § 1, a także zgłoszenia, które nie spełniają wymagań formalnych, o których mowa w § 2-5, pozostawia się bez dalszego biegu. Przywrócenie terminu do zgłoszenia kandydatów jest niedopuszczalne. Pozostawienie zgłoszenia bez dalsz</w:t>
      </w:r>
      <w:r>
        <w:rPr>
          <w:color w:val="000000"/>
        </w:rPr>
        <w:t>ego biegu rada gminy stwierdza w drodze uchwały.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11. </w:t>
      </w:r>
      <w:r>
        <w:rPr>
          <w:color w:val="000000"/>
        </w:rPr>
        <w:t>Minister Sprawiedliwości, po zasięgnięciu opinii Krajowej Rady Sądownictwa, określi, w drodze rozporządzenia, sposób postępowania z dokumentami złożonymi radom gmin przy zgłaszaniu kandydatów na ławnik</w:t>
      </w:r>
      <w:r>
        <w:rPr>
          <w:color w:val="000000"/>
        </w:rPr>
        <w:t>ów, wzór karty zgłoszenia oraz sposób jego udostępniania, mając na uwadze potrzebę udokumentowania przez podmioty zgłaszające spełnianie przez kandydatów na ławników wymogów określonych w ustawie, a także zapewnienia wyboru kandydatów o najwyższych walorac</w:t>
      </w:r>
      <w:r>
        <w:rPr>
          <w:color w:val="000000"/>
        </w:rPr>
        <w:t xml:space="preserve">h etycznych i intelektualnych, umożliwienia rzetelnej weryfikacji zgłoszeń i przejrzystości działań związanych ze zgłaszaniem kandydatów na ławników, a przez określenie wzoru karty zgłoszenia i sposobu jego udostępniania - potrzebę ujednolicenia procedury </w:t>
      </w:r>
      <w:r>
        <w:rPr>
          <w:color w:val="000000"/>
        </w:rPr>
        <w:t>zgłaszania, ułatwienia dostępu do wzoru i rozpatrywania zgłoszeń.</w:t>
      </w:r>
    </w:p>
    <w:p w:rsidR="008779D3" w:rsidRDefault="00AC237A">
      <w:pPr>
        <w:spacing w:before="80" w:after="0"/>
      </w:pPr>
      <w:r>
        <w:rPr>
          <w:b/>
          <w:color w:val="000000"/>
        </w:rPr>
        <w:lastRenderedPageBreak/>
        <w:t xml:space="preserve">Art. 163.  [Organizacja wyborów ławników]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Wybory ławników odbywają się najpóźniej w październiku roku kalendarzowego, w którym upływa kadencja dotychczasowych ławników.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 xml:space="preserve">Przed </w:t>
      </w:r>
      <w:r>
        <w:rPr>
          <w:color w:val="000000"/>
        </w:rPr>
        <w:t>przystąpieniem do wyborów rada gminy powołuje zespół, który przedstawia na sesji rady gminy swoją opinię o zgłoszonych kandydatach, w szczególności w zakresie spełnienia przez nich wymogów określonych w ustawie.</w:t>
      </w:r>
    </w:p>
    <w:p w:rsidR="008779D3" w:rsidRDefault="00AC237A">
      <w:pPr>
        <w:spacing w:before="80" w:after="0"/>
      </w:pPr>
      <w:r>
        <w:rPr>
          <w:b/>
          <w:color w:val="000000"/>
        </w:rPr>
        <w:t>Art. 164.  [Wpis na listę ławników; ślubowan</w:t>
      </w:r>
      <w:r>
        <w:rPr>
          <w:b/>
          <w:color w:val="000000"/>
        </w:rPr>
        <w:t xml:space="preserve">ie]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Listę wybranych ławników wraz z dokumentami, o których mowa w art. 162 § 2-4, rady gmin, które dokonały ich wyboru, przesyłają prezesom właściwych sądów, najpóźniej do końca października. Spośród ławników znajdujących się na liście wybranych ławn</w:t>
      </w:r>
      <w:r>
        <w:rPr>
          <w:color w:val="000000"/>
        </w:rPr>
        <w:t>ików rady gmin wskazują ławników do orzekania w sprawach z zakresu prawa pracy.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Prezes sądu wręcza ławnikom zawiadomienie o wyborze i odbiera od nich ślubowanie według roty ustalonej dla sędziów, z odpowiednią zmianą.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>Po odebraniu ślubowania prez</w:t>
      </w:r>
      <w:r>
        <w:rPr>
          <w:color w:val="000000"/>
        </w:rPr>
        <w:t>es sądu wpisuje ławnika na listę ławników, którzy mogą być wyznaczani do orzekania, i wydaje mu legitymację.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165.  [Kadencja ławników]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Kadencja ławników sądów okręgowych i rejonowych trwa cztery lata kalendarzowe następujące po roku, w którym do</w:t>
      </w:r>
      <w:r>
        <w:rPr>
          <w:color w:val="000000"/>
        </w:rPr>
        <w:t>konano wyborów, jednak mandat ławnika wybranego dodatkowo wygasa z upływem kadencji ogółu ławników.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Po upływie kadencji ławnik może brać udział jedynie w rozpoznawaniu sprawy rozpoczętej wcześniej z jego udziałem, do czasu jej zakończenia.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166.  </w:t>
      </w:r>
      <w:r>
        <w:rPr>
          <w:b/>
          <w:color w:val="000000"/>
        </w:rPr>
        <w:t xml:space="preserve">[Wygaśnięcie mandatu ławnika; odwołanie ławnika]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Mandat ławnika wygasa w razie prawomocnego skazania za przestępstwo bądź wykroczenie, w tym również za przestępstwo lub wykroczenie skarbowe. Rada gminy, która wybrała ławnika, stwierdza wygaśnięcie ma</w:t>
      </w:r>
      <w:r>
        <w:rPr>
          <w:color w:val="000000"/>
        </w:rPr>
        <w:t>ndatu z tego powodu i informuje o tym prezesa właściwego sądu.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Rada gminy, która wybrała ławnika, może go odwołać na wniosek prezesa właściwego sądu, w razie: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1) (uchylony);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2) niewykonywania obowiązków ławnika;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3) zachowania godzącego w powagę sądu;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4) niezdolności do wykonywania obowiązków ławnika.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2a. </w:t>
      </w:r>
      <w:r>
        <w:rPr>
          <w:color w:val="000000"/>
        </w:rPr>
        <w:t>Wniosek, o którym mowa w § 2, jest składany łącznie z opiniami właściwej rady ławniczej oraz kolegium właściwego sądu okręgowego albo z oświadczeniem prezesa właściwego sądu, że taka opinia lub takie</w:t>
      </w:r>
      <w:r>
        <w:rPr>
          <w:color w:val="000000"/>
        </w:rPr>
        <w:t xml:space="preserve"> opinie nie zostały wydane w terminie 21 dni od dnia doręczenia wniosku do zaopiniowania. W przypadku braku opinii prezes właściwego sądu przedkłada radzie gminy wraz z wnioskiem potwierdzenie jego doręczenia podmiotowi uprawnionemu do wydania opinii. Niew</w:t>
      </w:r>
      <w:r>
        <w:rPr>
          <w:color w:val="000000"/>
        </w:rPr>
        <w:t>ydanie opinii w terminie uważa się za niezgłoszenie uwag do wniosku. Przepis art. 31 § 2 stosuje się odpowiednio.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2b. </w:t>
      </w:r>
      <w:r>
        <w:rPr>
          <w:color w:val="000000"/>
        </w:rPr>
        <w:t xml:space="preserve">Przed podjęciem uchwały w sprawie wniosku o odwołanie ławnika przewodniczący rady gminy umożliwia wysłuchanie ławnika i jego udział w </w:t>
      </w:r>
      <w:r>
        <w:rPr>
          <w:color w:val="000000"/>
        </w:rPr>
        <w:t xml:space="preserve">posiedzeniu właściwej komisji i w sesji rady gminy, na których taki wniosek będzie opiniowany i rozpoznawany. O terminach </w:t>
      </w:r>
      <w:r>
        <w:rPr>
          <w:color w:val="000000"/>
        </w:rPr>
        <w:lastRenderedPageBreak/>
        <w:t>posiedzenia komisji i sesji rady gminy ławnik jest powiadamiany na piśmie, co najmniej z siedmiodniowym wyprzedzeniem, w trybie i w sp</w:t>
      </w:r>
      <w:r>
        <w:rPr>
          <w:color w:val="000000"/>
        </w:rPr>
        <w:t>osób przewidziany w Kodeksie postępowania administracyjnego.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2c. </w:t>
      </w:r>
      <w:r>
        <w:rPr>
          <w:color w:val="000000"/>
        </w:rPr>
        <w:t>W sprawach, o których mowa w § 2b, ławnik działa osobiście, a w razie niemożności osobistego stawiennictwa może działać przez pełnomocnika.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>Przed upływem kadencji mandat ławnika wygasa</w:t>
      </w:r>
      <w:r>
        <w:rPr>
          <w:color w:val="000000"/>
        </w:rPr>
        <w:t xml:space="preserve"> z dniem doręczenia mu zawiadomienia prezesa sądu o skreśleniu z listy ławników wskutek zrzeczenia się mandatu z ważnych przyczyn lub odwołania ławnika przez radę gminy.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167.  [Okoliczności wyłączające powołanie ławnika do pełnienia obowiązków]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W czasie trwania kadencji nie powołuje się ławnika do pełnienia obowiązków w przypadku: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1) ujawnienia okoliczności, które nie pozwalały na jego wybór;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 xml:space="preserve">2) wszczęcia postępowania o odwołanie ławnika - do czasu podjęcia przez radę gminy uchwały w przedmiocie </w:t>
      </w:r>
      <w:r>
        <w:rPr>
          <w:color w:val="000000"/>
        </w:rPr>
        <w:t>odwołania;</w:t>
      </w:r>
    </w:p>
    <w:p w:rsidR="008779D3" w:rsidRDefault="00AC237A">
      <w:pPr>
        <w:spacing w:before="26" w:after="0"/>
        <w:ind w:left="373"/>
      </w:pPr>
      <w:r>
        <w:rPr>
          <w:color w:val="000000"/>
        </w:rPr>
        <w:t>3) wszczęcia przeciwko ławnikowi postępowania o przestępstwo ścigane z oskarżenia publicznego lub przestępstwo skarbowe - do czasu prawomocnego rozstrzygnięcia sprawy.</w:t>
      </w:r>
    </w:p>
    <w:p w:rsidR="008779D3" w:rsidRDefault="008779D3">
      <w:pPr>
        <w:spacing w:after="0"/>
      </w:pP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 xml:space="preserve">W razie zniesienia sądu, ośrodka zamiejscowego lub wydziału </w:t>
      </w:r>
      <w:r>
        <w:rPr>
          <w:color w:val="000000"/>
        </w:rPr>
        <w:t>zamiejscowego - ławnicy tych jednostek stają się ławnikami sądów, które przejmują kompetencje zniesionych jednostek.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168.  [Uzupełnienie listy ławników] </w:t>
      </w:r>
    </w:p>
    <w:p w:rsidR="008779D3" w:rsidRDefault="00AC237A">
      <w:pPr>
        <w:spacing w:after="0"/>
      </w:pPr>
      <w:r>
        <w:rPr>
          <w:color w:val="000000"/>
        </w:rPr>
        <w:t>W razie potrzeby, zwłaszcza z powodu zmniejszenia się w czasie kadencji liczby ławników, rada gmi</w:t>
      </w:r>
      <w:r>
        <w:rPr>
          <w:color w:val="000000"/>
        </w:rPr>
        <w:t>ny na wniosek prezesa sądu okręgowego dokonuje uzupełnienia listy, wybierając nowych ławników w sposób określony w ustawie.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169.  [Niezawisłość ławników]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 xml:space="preserve">W zakresie orzekania ławnicy są niezawiśli i podlegają tylko </w:t>
      </w:r>
      <w:r>
        <w:rPr>
          <w:color w:val="1B1B1B"/>
        </w:rPr>
        <w:t>Konstytucji</w:t>
      </w:r>
      <w:r>
        <w:rPr>
          <w:color w:val="000000"/>
        </w:rPr>
        <w:t xml:space="preserve"> oraz ustawom.</w:t>
      </w:r>
    </w:p>
    <w:p w:rsidR="008779D3" w:rsidRDefault="00AC237A">
      <w:pPr>
        <w:spacing w:before="26" w:after="0"/>
      </w:pPr>
      <w:r>
        <w:rPr>
          <w:b/>
          <w:color w:val="000000"/>
        </w:rPr>
        <w:t>§ 2.</w:t>
      </w:r>
      <w:r>
        <w:rPr>
          <w:b/>
          <w:color w:val="000000"/>
        </w:rPr>
        <w:t xml:space="preserve"> </w:t>
      </w:r>
      <w:r>
        <w:rPr>
          <w:color w:val="000000"/>
        </w:rPr>
        <w:t>Ławnik nie może przewodniczyć na rozprawie i naradzie ani też wykonywać czynności sędziego poza rozprawą, chyba że ustawy stanowią inaczej.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>Do ławników przepis art. 85 § 4 stosuje się odpowiednio.</w:t>
      </w:r>
    </w:p>
    <w:p w:rsidR="008779D3" w:rsidRDefault="00AC237A">
      <w:pPr>
        <w:spacing w:before="80" w:after="0"/>
      </w:pPr>
      <w:r>
        <w:rPr>
          <w:b/>
          <w:color w:val="000000"/>
        </w:rPr>
        <w:t>Art. 170.  [Wyznaczenie ławnika do udziału w rozprawi</w:t>
      </w:r>
      <w:r>
        <w:rPr>
          <w:b/>
          <w:color w:val="000000"/>
        </w:rPr>
        <w:t xml:space="preserve">e]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Ławnik może zostać wyznaczony do udziału w rozprawach do dwunastu dni w ciągu roku. Liczba tych dni może być zwiększona przez prezesa sądu tylko z ważnych przyczyn, a zwłaszcza w przypadku konieczności zakończenia rozprawy z udziałem tego ławnika.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(uchylony).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>Wyznaczając ławnika do udziału w rozprawie, zawiadamia się o tym jednocześnie pracodawcę zatrudniającego ławnika.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171.  [Przydzielenie dodatkowego ławnika do sprawy]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Prezes sądu może zarządzić przydzielenie dodatkowego ław</w:t>
      </w:r>
      <w:r>
        <w:rPr>
          <w:color w:val="000000"/>
        </w:rPr>
        <w:t>nika do sprawy, jeżeli istnieje prawdopodobieństwo, że będzie ona trwać czas dłuższy. W razie potrzeby można przydzielić dwóch ławników dodatkowych wskazując kolejność, w której będą oni wstępować do udziału w naradzie i głosowaniu.</w:t>
      </w:r>
    </w:p>
    <w:p w:rsidR="008779D3" w:rsidRDefault="00AC237A">
      <w:pPr>
        <w:spacing w:before="26" w:after="0"/>
      </w:pPr>
      <w:r>
        <w:rPr>
          <w:b/>
          <w:color w:val="000000"/>
        </w:rPr>
        <w:lastRenderedPageBreak/>
        <w:t xml:space="preserve">§ 2. </w:t>
      </w:r>
      <w:r>
        <w:rPr>
          <w:color w:val="000000"/>
        </w:rPr>
        <w:t>Ławnik dodatkowy b</w:t>
      </w:r>
      <w:r>
        <w:rPr>
          <w:color w:val="000000"/>
        </w:rPr>
        <w:t>ierze udział w naradzie i głosowaniu, jeżeli jeden z ławników nie może uczestniczyć w składzie sądu.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172.  [Obowiązki pracodawcy ławnika; rekompensata pieniężna; ryczałt na pokrycie kosztów dojazdu do sądu]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 xml:space="preserve">Pracodawca zatrudniający ławnika jest </w:t>
      </w:r>
      <w:r>
        <w:rPr>
          <w:color w:val="000000"/>
        </w:rPr>
        <w:t>obowiązany zwolnić go od pracy na czas wykonywania czynności w sądzie.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Za czas zwolnienia od pracy ławnik zachowuje prawo do świadczeń wynikających ze stosunku pracy, z wyjątkiem prawa do wynagrodzenia.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 xml:space="preserve">Ławnik otrzymuje rekompensatę pieniężną za </w:t>
      </w:r>
      <w:r>
        <w:rPr>
          <w:color w:val="000000"/>
        </w:rPr>
        <w:t>czas wykonywania czynności w sądzie, którymi są: udział w rozprawie lub posiedzeniu, uczestnictwo w naradzie nad wyrokiem, sporządzenie uzasadnienia lub uczestnictwo w posiedzeniu rady ławniczej, jeżeli został do niej wybrany.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4. </w:t>
      </w:r>
      <w:r>
        <w:rPr>
          <w:color w:val="000000"/>
        </w:rPr>
        <w:t>Wysokość rekompensaty dl</w:t>
      </w:r>
      <w:r>
        <w:rPr>
          <w:color w:val="000000"/>
        </w:rPr>
        <w:t>a ławników biorących udział w rozpoznawaniu spraw w sądach powszechnych, za jeden dzień pełnienia obowiązków ławnika, wynosi 2,64% podstawy ustalenia wynagrodzenia zasadniczego sędziego, o której mowa w art. 91 § 1c.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4a. </w:t>
      </w:r>
      <w:r>
        <w:rPr>
          <w:color w:val="000000"/>
        </w:rPr>
        <w:t xml:space="preserve">Ławnikowi przysługuje ryczałt na </w:t>
      </w:r>
      <w:r>
        <w:rPr>
          <w:color w:val="000000"/>
        </w:rPr>
        <w:t>pokrycie kosztów dojazdu do sądu w celu wykonywania czynności w sądzie środkami komunikacji miejscowej w wysokości 0,25% podstawy ustalenia wynagrodzenia zasadniczego sędziego, o której mowa w art. 91 § 1c.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5. </w:t>
      </w:r>
      <w:r>
        <w:rPr>
          <w:color w:val="000000"/>
        </w:rPr>
        <w:t>(uchylony).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6. </w:t>
      </w:r>
      <w:r>
        <w:rPr>
          <w:color w:val="000000"/>
        </w:rPr>
        <w:t>Koszty wypłaty świadczeń, o</w:t>
      </w:r>
      <w:r>
        <w:rPr>
          <w:color w:val="000000"/>
        </w:rPr>
        <w:t xml:space="preserve"> których mowa w § 4 i 4a, ponosi Skarb Państwa.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173.  [Diety i zwrot kosztów przejazdu i noclegu ławników] </w:t>
      </w:r>
    </w:p>
    <w:p w:rsidR="008779D3" w:rsidRDefault="00AC237A">
      <w:pPr>
        <w:spacing w:after="0"/>
      </w:pPr>
      <w:r>
        <w:rPr>
          <w:color w:val="000000"/>
        </w:rPr>
        <w:t xml:space="preserve">Ławnicy zamieszkali poza siedzibą sądu otrzymują diety oraz zwrot kosztów przejazdu i noclegu według zasad ustalonych w tym zakresie dla </w:t>
      </w:r>
      <w:r>
        <w:rPr>
          <w:color w:val="000000"/>
        </w:rPr>
        <w:t>sędziów.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174.  [Przyznanie należności ławnikom]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Należności, o których mowa w art. 172 § 3 i art. 173, przyznaje prezes właściwego sądu.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Od decyzji prezesa sądu rejonowego przysługuje odwołanie do prezesa sądu okręgowego, a gdy decyzję w pie</w:t>
      </w:r>
      <w:r>
        <w:rPr>
          <w:color w:val="000000"/>
        </w:rPr>
        <w:t>rwszej instancji wydał prezes sądu okręgowego lub prezes sądu apelacyjnego - do Ministra Sprawiedliwości.</w:t>
      </w:r>
    </w:p>
    <w:p w:rsidR="008779D3" w:rsidRDefault="00AC237A">
      <w:pPr>
        <w:spacing w:before="80" w:after="0"/>
      </w:pPr>
      <w:r>
        <w:rPr>
          <w:b/>
          <w:color w:val="000000"/>
        </w:rPr>
        <w:t xml:space="preserve">Art. 175.  [Rada ławnicza] </w:t>
      </w:r>
    </w:p>
    <w:p w:rsidR="008779D3" w:rsidRDefault="00AC237A">
      <w:pPr>
        <w:spacing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Ławnicy każdego sądu wybierają ze swego grona radę ławniczą, jej przewodniczącego i zastępców.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 xml:space="preserve">Do zadań rady </w:t>
      </w:r>
      <w:r>
        <w:rPr>
          <w:color w:val="000000"/>
        </w:rPr>
        <w:t>ławniczej należy w szczególności podnoszenie poziomu pracy ławników i ich reprezentowanie oraz pobudzanie działalności wychowawczej ławników w społeczeństwie.</w:t>
      </w:r>
    </w:p>
    <w:p w:rsidR="008779D3" w:rsidRDefault="00AC237A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 xml:space="preserve">Minister Sprawiedliwości określi, w drodze rozporządzenia, sposób wyboru, skład i strukturę </w:t>
      </w:r>
      <w:r>
        <w:rPr>
          <w:color w:val="000000"/>
        </w:rPr>
        <w:t>organizacyjną, tryb działania oraz szczegółowe zadania rady ławniczej, uwzględniając obligatoryjny charakter rady ławniczej jako samorządu ławniczego, reprezentującego ławników w danym sądzie, zakres współpracy z prezesem sądu, potrzebę uwzględnienia w jej</w:t>
      </w:r>
      <w:r>
        <w:rPr>
          <w:color w:val="000000"/>
        </w:rPr>
        <w:t xml:space="preserve"> strukturze przewodniczącego i zastępców oraz okre</w:t>
      </w:r>
      <w:bookmarkStart w:id="0" w:name="_GoBack"/>
      <w:bookmarkEnd w:id="0"/>
      <w:r>
        <w:rPr>
          <w:color w:val="000000"/>
        </w:rPr>
        <w:t>ślenia ich zadań.</w:t>
      </w:r>
    </w:p>
    <w:sectPr w:rsidR="008779D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96311"/>
    <w:multiLevelType w:val="multilevel"/>
    <w:tmpl w:val="7A26A26E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79D3"/>
    <w:rsid w:val="008779D3"/>
    <w:rsid w:val="00A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F6CD3-2E23-469F-9A00-BD740700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2175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2019-05-27T14:07:00Z</dcterms:created>
  <dcterms:modified xsi:type="dcterms:W3CDTF">2019-05-27T14:12:00Z</dcterms:modified>
</cp:coreProperties>
</file>